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RO</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ANEXA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„ANEXA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PARTEA II: INSTRUCȚIUNI AFERENTE FORMULARELOR</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Pragurile pentru portofoliul de tranzacționare și riscul de piață, limita dintre poziții din portofoliul de tranzacționare și poziții din afara portofoliului de tranzacționare și reclasificările</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rPr>
          <w:rFonts w:ascii="Times New Roman" w:hAnsi="Times New Roman"/>
          <w:sz w:val="24"/>
        </w:rPr>
        <w:tab/>
      </w:r>
      <w:bookmarkEnd w:id="6"/>
      <w:r>
        <w:rPr>
          <w:rFonts w:ascii="Times New Roman" w:hAnsi="Times New Roman"/>
          <w:sz w:val="24"/>
        </w:rPr>
        <w:t>C 90.00 – Pragurile pentru portofoliul de tranzacționare și riscul de piață</w:t>
      </w:r>
      <w:bookmarkEnd w:id="7"/>
      <w:bookmarkEnd w:id="8"/>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Pr>
          <w:rFonts w:ascii="Times New Roman" w:hAnsi="Times New Roman"/>
          <w:u w:val="none"/>
        </w:rPr>
        <w:tab/>
      </w:r>
      <w:r>
        <w:rPr>
          <w:rFonts w:ascii="Times New Roman" w:hAnsi="Times New Roman"/>
          <w:sz w:val="24"/>
          <w:u w:val="none"/>
        </w:rPr>
        <w:t>Observații generale</w:t>
      </w:r>
    </w:p>
    <w:p w14:paraId="2EE35BE9" w14:textId="07F1DFA2" w:rsidR="00F65FA6" w:rsidRPr="00037E7B" w:rsidRDefault="00F65FA6" w:rsidP="00F65FA6">
      <w:pPr>
        <w:pStyle w:val="InstructionsText2"/>
        <w:numPr>
          <w:ilvl w:val="0"/>
          <w:numId w:val="61"/>
        </w:numPr>
        <w:spacing w:line="259" w:lineRule="auto"/>
      </w:pPr>
      <w:r>
        <w:t>Informațiile furnizate în prezentul formular trebuie să reflecte rezultatul calculului menționat la articolul 94 din Regulamentul (UE) nr. 575/2013 (derogare pentru portofoliile de tranzacționare de mici dimensiuni) și dimensiunea operațiunilor bilanțiere și extrabilanțiere care prezintă un risc de piață ale instituției, calculată în conformitate cu articolul 325a din Regulamentul</w:t>
      </w:r>
      <w:r w:rsidR="00167968">
        <w:t> </w:t>
      </w:r>
      <w:r>
        <w:t>(UE) nr.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Pr>
          <w:rFonts w:ascii="Times New Roman" w:hAnsi="Times New Roman"/>
          <w:sz w:val="24"/>
          <w:u w:val="none"/>
        </w:rPr>
        <w:tab/>
        <w:t>Instrucțiuni privind anumite poziții</w:t>
      </w:r>
      <w:bookmarkEnd w:id="10"/>
    </w:p>
    <w:p w14:paraId="230964CC" w14:textId="77777777" w:rsidR="00F65FA6" w:rsidRPr="00037E7B" w:rsidRDefault="00F65FA6" w:rsidP="00F65FA6">
      <w:pPr>
        <w:pStyle w:val="InstructionsText2"/>
        <w:numPr>
          <w:ilvl w:val="0"/>
          <w:numId w:val="61"/>
        </w:numPr>
        <w:spacing w:line="259" w:lineRule="auto"/>
      </w:pPr>
      <w:r>
        <w:t>Rezultatul calculului menționat la articolul 94 din Regulamentul (UE) nr. 575/2013 și informațiile privind dimensiunea operațiunilor bilanțiere și extrabilanțiere care prezintă un risc de piață ale instituției, calculată în conformitate cu articolul 325a din Regulamentul (UE) nr. 575/2013, se raportează separat pentru fiecare sfârșit de lună din trimestrul la care se referă raportul, pe rândurile 0010-0030.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Rând</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Referințe juridice și instrucțiuni</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Luna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Datele din ultima zi a celei de a treia luni a trimestrului la care se referă raportul.</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Luna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Datele din ultima zi a celei de a doua luni a trimestrului la care se referă raportul.</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Luna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Datele din ultima zi a primei luni a trimestrului la care se referă raportul.</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70"/>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Coloană</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Referințe juridice și instrucțiuni</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Operațiuni bilanțiere și extrabilanțiere care prezintă un risc de piață</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Articolul 325a alineatul (2) din Regulamentul (UE) nr.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Instituțiile raportează valoarea absolută corespunzătoare operațiunilor lor bilanțiere și extrabilanțiere care prezintă un risc de piață, calculată în conformitate cu articolul 325a alineatul (2) din Regulamentul (UE) nr.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Defalcare în funcție de portofoliul reglementar</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Operațiunile bilanțiere și extrabilanțiere care prezintă un risc de piață trebuie defalcate pe poziții din portofoliul de tranzacționare și poziții din afara portofoliului de tranzacționare.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Portofoliu de tranzacționare</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Pozițiile atribuite portofoliului de tranzacționare care sunt incluse în calculul prevăzut la articolul 325a alineatul (2) din Regulamentul (UE) nr.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din care: activități legate de portofoliul de tranzacționare în sensul articolului 94 din Regulamentul (UE) nr.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Articolul 94 alineatul (3) din Regulamentul (UE) nr. 575/2013.</w:t>
            </w:r>
          </w:p>
          <w:p w14:paraId="0A9722AA" w14:textId="25CD3E91" w:rsidR="00F65FA6" w:rsidRPr="00037E7B" w:rsidRDefault="00F65FA6" w:rsidP="00E02007">
            <w:pPr>
              <w:pStyle w:val="Tabelleninhalt"/>
              <w:spacing w:after="120"/>
              <w:rPr>
                <w:rFonts w:ascii="Times New Roman" w:hAnsi="Times New Roman" w:cs="Times New Roman"/>
              </w:rPr>
            </w:pPr>
            <w:r>
              <w:rPr>
                <w:rFonts w:ascii="Times New Roman" w:hAnsi="Times New Roman"/>
              </w:rPr>
              <w:t>Astfel cum se prevede la articolul 94 alineatul (3) litera (b) din Regulamentul</w:t>
            </w:r>
            <w:r w:rsidR="00167968">
              <w:rPr>
                <w:rFonts w:ascii="Times New Roman" w:hAnsi="Times New Roman"/>
              </w:rPr>
              <w:t> </w:t>
            </w:r>
            <w:r>
              <w:rPr>
                <w:rFonts w:ascii="Times New Roman" w:hAnsi="Times New Roman"/>
              </w:rPr>
              <w:t xml:space="preserve">(UE) nr. 575/2013, instituțiile raportează valorile de piață din ultima zi a lunii; în cazul în care valorile de piață nu sunt disponibile, valorile juste din aceeași dată sau, atunci când valorile de piață și valorile juste nu sunt disponibile la data respectivă, cea mai recentă valoare de piață sau valoare justă.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Articolul 94 alineatul (3) din Regulamentul (UE) nr.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Valoarea absolută a pozițiilor lungi și scurte se adună în conformitate cu articolul 94 alineatul (3) litera (c) din Regulamentul (UE) nr.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în % din totalul activelor</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Articolul 94 alineatul (1) litera (a) din Regulamentul (UE) nr.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Dimensiunea portofoliului de tranzacționare în sensul articolului 94 din Regulamentul (UE) nr. 575/2013 se exprimă ca procent din totalul activelor.</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Poziții din afara portofoliului de tranzacționare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Pozițiile încadrate în afara portofoliului de tranzacționare care sunt incluse în calculul prevăzut la articolul 325a alineatul (2) din Regulamentul (UE) nr.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Pozițiile din afara portofoliului de tranzacționare care prezintă un risc de piață se raportează de către instituții defalcate pe poziții care prezintă un risc de schimb valutar și poziții care prezintă un risc de marfă.</w:t>
            </w:r>
          </w:p>
          <w:p w14:paraId="6F2651D5" w14:textId="0CD0EB71" w:rsidR="00F65FA6" w:rsidRPr="00037E7B" w:rsidRDefault="00F65FA6" w:rsidP="00E02007">
            <w:pPr>
              <w:pStyle w:val="Tabelleninhalt"/>
              <w:spacing w:after="120"/>
              <w:rPr>
                <w:rFonts w:ascii="Times New Roman" w:hAnsi="Times New Roman" w:cs="Times New Roman"/>
              </w:rPr>
            </w:pPr>
            <w:r>
              <w:rPr>
                <w:rFonts w:ascii="Times New Roman" w:hAnsi="Times New Roman"/>
              </w:rPr>
              <w:t>Cuantumurile relevante se determină în conformitate cu articolul 325a alineatul</w:t>
            </w:r>
            <w:r w:rsidR="00167968">
              <w:rPr>
                <w:rFonts w:ascii="Times New Roman" w:hAnsi="Times New Roman"/>
              </w:rPr>
              <w:t> </w:t>
            </w:r>
            <w:r>
              <w:rPr>
                <w:rFonts w:ascii="Times New Roman" w:hAnsi="Times New Roman"/>
              </w:rPr>
              <w:t xml:space="preserve">(2) literele (d) și (e) din Regulamentul (UE) nr.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în % din totalul activelor</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Articolul 325a alineatul (1) litera (a) din Regulamentul (UE) nr.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Operațiunile bilanțiere și extrabilanțiere care prezintă un risc de piață se exprimă ca procent din totalul activelor.</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Active totale</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Articolul 94 alineatul (1) litera (a) și articolul 325a alineatul (1) litera (a) din Regulamentul (UE) nr.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Limita dintre poziții din portofoliul de tranzacționare și poziții din afara portofoliului de tranzacționare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rPr>
          <w:rFonts w:ascii="Times New Roman" w:hAnsi="Times New Roman"/>
          <w:sz w:val="24"/>
        </w:rPr>
        <w:tab/>
        <w:t>Observații generale</w:t>
      </w:r>
      <w:bookmarkEnd w:id="11"/>
    </w:p>
    <w:p w14:paraId="5D51F5A4" w14:textId="105C86A5" w:rsidR="009B2CA6" w:rsidRPr="00037E7B" w:rsidRDefault="000B3833" w:rsidP="00660845">
      <w:pPr>
        <w:pStyle w:val="InstructionsText2"/>
        <w:numPr>
          <w:ilvl w:val="0"/>
          <w:numId w:val="0"/>
        </w:numPr>
      </w:pPr>
      <w:r>
        <w:t xml:space="preserve">209a. Acest formular se utilizează pentru furnizarea de informații cu privire la compoziția portofoliului de tranzacționare (BOU1), având în vedere prezumțiile de includere a instrumentelor în portofolii, prevăzute la articolul 104 din Regulamentul (UE) nr.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rPr>
          <w:rFonts w:ascii="Times New Roman" w:hAnsi="Times New Roman"/>
        </w:rPr>
        <w:tab/>
      </w:r>
      <w:r>
        <w:rPr>
          <w:rFonts w:ascii="Times New Roman" w:hAnsi="Times New Roman"/>
          <w:sz w:val="24"/>
        </w:rPr>
        <w:t>C 90.05 – Limită: portofoliul de tranzacționare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Observații generale</w:t>
      </w:r>
      <w:bookmarkEnd w:id="13"/>
    </w:p>
    <w:p w14:paraId="4E94C71F" w14:textId="73207B56" w:rsidR="00D87969" w:rsidRPr="00037E7B" w:rsidRDefault="000B3833" w:rsidP="00D53CED">
      <w:pPr>
        <w:pStyle w:val="InstructionsText2"/>
        <w:numPr>
          <w:ilvl w:val="0"/>
          <w:numId w:val="0"/>
        </w:numPr>
        <w:rPr>
          <w:noProof/>
        </w:rPr>
      </w:pPr>
      <w:r>
        <w:t>209b. Instituțiile raportează în acest formular toate pozițiile atribuite portofoliului de tranzacționare, astfel cum se menționează la articolul 4 alineatul (1) punctul 85 din Regulamentul (UE) nr. 575/2013, cu excepția instrumentelor și a pozițiilor excluse de la calcularea pragului menționat la articolul 325a din Regulamentul (UE) nr. 575/2013. 209c. Prin derogare de la articolul 21 alineatul (1) litera (a) din Regulamentul (UE) 2021/451, instituțiile raportează valoarea zero pe rândurile 0010 și 0020, în coloanele 0020 («În mod obligatoriu în portofoliul de tranzacționare»), 0130 («Instrumente incluse în portofoliul de tranzacționare cu aprobarea autorității competente: instrumente din fonduri din fonduri de hedging») și, respectiv, 0140 («Alte instrumente»), dacă portofoliul lor de tranzacționare nu include niciun instrument care să corespundă descrierii celulei respective.</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E8390B">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lastRenderedPageBreak/>
        <w:t>9.2.2.2. Instrucțiuni privind anumite poziții</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rsidP="00E8390B">
            <w:pPr>
              <w:pStyle w:val="BodyText"/>
              <w:keepNext/>
              <w:spacing w:before="120" w:after="120"/>
              <w:rPr>
                <w:rFonts w:ascii="Times New Roman" w:hAnsi="Times New Roman" w:cs="Times New Roman"/>
                <w:b/>
              </w:rPr>
            </w:pPr>
            <w:r>
              <w:rPr>
                <w:rFonts w:ascii="Times New Roman" w:hAnsi="Times New Roman"/>
                <w:b/>
              </w:rPr>
              <w:t>Coloană</w:t>
            </w:r>
          </w:p>
        </w:tc>
        <w:tc>
          <w:tcPr>
            <w:tcW w:w="7813" w:type="dxa"/>
            <w:shd w:val="clear" w:color="auto" w:fill="BFBFBF" w:themeFill="background1" w:themeFillShade="BF"/>
          </w:tcPr>
          <w:p w14:paraId="07605642" w14:textId="77777777" w:rsidR="009B2CA6" w:rsidRPr="00037E7B" w:rsidRDefault="009B2CA6" w:rsidP="00E8390B">
            <w:pPr>
              <w:pStyle w:val="BodyText"/>
              <w:keepNext/>
              <w:spacing w:before="120" w:after="120"/>
              <w:rPr>
                <w:rFonts w:ascii="Times New Roman" w:hAnsi="Times New Roman" w:cs="Times New Roman"/>
                <w:b/>
              </w:rPr>
            </w:pPr>
            <w:r>
              <w:rPr>
                <w:rFonts w:ascii="Times New Roman" w:hAnsi="Times New Roman"/>
                <w:b/>
              </w:rPr>
              <w:t>Referințe juridice și instrucțiuni</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Portofoliu de tranzacționare: poziții agregate – valoarea în sensul articolului 325a din Regulamentul (UE) nr. 575/2013 [valoare de piață netă pozitivă (+)/negativă (-)]</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Articolul 4 alineatul (1) punctul 86, articolul 104 și articolul 325a alineatul (2) litera (a) din Regulamentul (UE) nr. 575/2013.</w:t>
            </w:r>
          </w:p>
          <w:p w14:paraId="467A1E21" w14:textId="008DABF1" w:rsidR="0061609C" w:rsidRPr="00037E7B" w:rsidRDefault="0061609C" w:rsidP="00056154">
            <w:pPr>
              <w:pStyle w:val="BodyText"/>
              <w:spacing w:before="120" w:after="120"/>
              <w:rPr>
                <w:rFonts w:ascii="Times New Roman" w:hAnsi="Times New Roman" w:cs="Times New Roman"/>
              </w:rPr>
            </w:pPr>
            <w:r>
              <w:t>Instituțiile raportează separat informațiile pentru pozițiile lungi agregate și pentru pozițiile scurte agregate. Instituțiile determină valoarea poziției lungi (scurte) agregate în conformitate cu articolul 325a alineatul (2) din Regulamentul (UE) nr. 575/2013, cu următoarea derogare: în cazul în care valoarea poziției lungi (scurte) agregate corespunde unei valori de piață nete pozitive, în acest formular se raportează o valoare pozitivă; în cazul în care valoarea poziției lungi (scurte) agregate corespunde unei valori de piață nete negative, se raportează o valoare negativă.</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Poziții agregate – din care: în monedă străină</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În această coloană se raportează instrumente care sunt denominate în altă monedă decât moneda de raportare, au un instrument-suport denominat într-o astfel de monedă sau au ca suport o poziție pe valută.</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Poziții agregate – În mod obligatoriu în portofoliul de tranzacționare</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În cazul în care un instrument îndeplinește mai multe condiții pentru a fi inclus în portofoliul de tranzacționare, instituțiile raportează instrumentul respectiv în coloana pe care o consideră cea mai adecvată dintre coloanele 0030-0120. Instrumentele clasificate ca fiind destinate tranzacționării în conformitate cu cadrul contabil se raportează în coloana 0120 numai dacă nu pot fi încadrate în niciuna dintre coloanele 0030-0110.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În mod obligatoriu în portofoliul de tranzacționare</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 din portofoliul de tranzacționare pe bază de corelație alternativă (ACTP)</w:t>
            </w:r>
          </w:p>
          <w:p w14:paraId="761EFC0B" w14:textId="358ACC0D"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(a)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 care ar da naștere unei poziții scurte nete de credit sau unei poziții scurte nete pe titluri de capital din portofoliul bancar</w:t>
            </w:r>
          </w:p>
          <w:p w14:paraId="6B81D801" w14:textId="6B88BB5E"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(b)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 care rezultă din angajamente de subscrieri de titluri de valoare</w:t>
            </w:r>
          </w:p>
          <w:p w14:paraId="0035AEDA" w14:textId="0AE1DCA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(c)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 care rezultă din activități de formare a pieței</w:t>
            </w:r>
          </w:p>
          <w:p w14:paraId="39D72E39" w14:textId="256E8E3C"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(e)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OPC-uri</w:t>
            </w:r>
          </w:p>
          <w:p w14:paraId="5F0ADDDD" w14:textId="6DE54E61"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(f)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Titluri de capital cotate</w:t>
            </w:r>
          </w:p>
          <w:p w14:paraId="7373B9F6" w14:textId="6C08C782" w:rsidR="009B2CA6" w:rsidRPr="00037E7B" w:rsidRDefault="009B2CA6">
            <w:pPr>
              <w:pStyle w:val="BodyText"/>
              <w:spacing w:before="120" w:after="120"/>
              <w:rPr>
                <w:rFonts w:ascii="Times New Roman" w:hAnsi="Times New Roman" w:cs="Times New Roman"/>
              </w:rPr>
            </w:pPr>
            <w:r>
              <w:rPr>
                <w:rFonts w:ascii="Times New Roman" w:hAnsi="Times New Roman"/>
              </w:rPr>
              <w:t>Articolul 104 alineatul (2) primul paragraf litera (g)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SFT-uri legate de tranzacționare</w:t>
            </w:r>
          </w:p>
          <w:p w14:paraId="6D53378A" w14:textId="3A0AC9A6"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(h)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Opțiuni sau alte instrumente financiare derivate încorporate în datoriile proprii ale instituției (defalcate)</w:t>
            </w:r>
          </w:p>
          <w:p w14:paraId="0426719F" w14:textId="6C814FF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(i)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Datorii proprii ale instituției cu opțiuni încorporate sau alte instrumente derivate (nedefalcate)</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(2) primul paragraf litera (i) și al patrulea paragraf din Regulamentul (UE)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 clasificate ca fiind destinate tranzacționării în conformitate cu cadrul contabil (neincluse în coloanele anterioare)</w:t>
            </w:r>
          </w:p>
          <w:p w14:paraId="10D50030" w14:textId="68360710" w:rsidR="009B2CA6" w:rsidRPr="00037E7B" w:rsidRDefault="009B2CA6">
            <w:pPr>
              <w:pStyle w:val="BodyText"/>
              <w:spacing w:before="120" w:after="120"/>
              <w:rPr>
                <w:rFonts w:ascii="Times New Roman" w:hAnsi="Times New Roman" w:cs="Times New Roman"/>
              </w:rPr>
            </w:pPr>
            <w:r>
              <w:rPr>
                <w:rFonts w:ascii="Times New Roman" w:hAnsi="Times New Roman"/>
              </w:rPr>
              <w:t>Articolul 104 alineatul (2) primul paragraf litera (d)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Instrumentele clasificate ca fiind destinate tranzacționării în conformitate cu cadrul contabil se raportează în această coloană numai dacă nu au fost încă raportate în coloanele 0030-0110.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Poziții agregate – Instrumente incluse în portofoliul de tranzacționare cu aprobarea autorității competente: instrumente din fonduri de hedging</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(4a) din Regulamentul (UE) nr.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0140-0150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Poziții agregate – Alte instrumente</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În această coloană se raportează instrumente care sunt atribuite portofoliului de tranzacționare în conformitate cu articolul 4 alineatul (1) punctul 85 din Regulamentul (UE) nr. 575/2013 și nu au fost raportate în niciuna dintre coloanele 0020-0130.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Alte instrumente</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Alte instrumente – din care: instrumente incluse în portofoliul de tranzacționare ca urmare a lipsei elementelor care să justifice clasificarea ca poziții din afara portofoliului de tranzacționare</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Articolul 104 alineatul (6) a doua teză din Regulamentul (UE) nr. 575/2013</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Rând</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Referințe juridice și instrucțiuni</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224CB295"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Toate instrumentele din portofoliul de tranzacționare luate în considerare în cadrul pragului de la articolul 325a din Regulamentul (UE) nr.</w:t>
            </w:r>
            <w:r w:rsidR="00E8390B">
              <w:rPr>
                <w:rFonts w:ascii="Times New Roman" w:hAnsi="Times New Roman"/>
                <w:b/>
                <w:u w:val="single"/>
              </w:rPr>
              <w:t> </w:t>
            </w:r>
            <w:r>
              <w:rPr>
                <w:rFonts w:ascii="Times New Roman" w:hAnsi="Times New Roman"/>
                <w:b/>
                <w:u w:val="single"/>
              </w:rPr>
              <w:t>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 al căror principal determinant de risc este riscul general de rată a dobânzii sau riscul de marjă de credit</w:t>
            </w:r>
          </w:p>
          <w:p w14:paraId="1768966A" w14:textId="77777777" w:rsidR="009B2CA6" w:rsidRPr="00167968" w:rsidRDefault="009B2CA6" w:rsidP="00627775">
            <w:pPr>
              <w:pStyle w:val="BodyText"/>
              <w:spacing w:before="120" w:after="120"/>
              <w:rPr>
                <w:rFonts w:ascii="Times New Roman" w:hAnsi="Times New Roman" w:cs="Times New Roman"/>
                <w:b/>
                <w:u w:val="single"/>
                <w:lang w:val="fr-B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 al căror principal determinant de risc este riscul privind titlurile de capital</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 al căror principal determinant de risc este riscul de schimb valutar</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 al căror principal determinant de risc este riscul de marfă</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Alte instrumente din portofoliul de tranzacționare, inclusiv instrumentele al căror principal determinant de risc este riscul rezidual</w:t>
            </w:r>
          </w:p>
          <w:p w14:paraId="49050F01" w14:textId="2A4D80B1" w:rsidR="009B2CA6" w:rsidRPr="00723BA8" w:rsidRDefault="00D35757">
            <w:pPr>
              <w:pStyle w:val="BodyText"/>
              <w:spacing w:before="120" w:after="120"/>
              <w:rPr>
                <w:rFonts w:hint="eastAsia"/>
              </w:rPr>
            </w:pPr>
            <w:r>
              <w:t>Instituțiile raportează pe aceste rânduri orice instrument alocat portofoliului de tranzacționare al cărui principal determinant de risc nu este unul dintre determinanții de risc menționați pe rândurile 0030-0100. Aceste rânduri trebuie să includă cel puțin instrumentele al căror principal determinant de risc este riscul rezidual.</w:t>
            </w:r>
            <w:r w:rsidR="00167968">
              <w:t xml:space="preserve">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Element memorandum: instrumente clasificate ca fiind destinate tranzacționării în conformitate cu cadrul contabil</w:t>
            </w:r>
          </w:p>
          <w:p w14:paraId="3A1B5873" w14:textId="7C474424" w:rsidR="009B2CA6" w:rsidRPr="00037E7B" w:rsidRDefault="009B2CA6" w:rsidP="00723BA8">
            <w:pPr>
              <w:pStyle w:val="BodyText"/>
              <w:spacing w:before="120" w:after="120"/>
              <w:rPr>
                <w:rFonts w:ascii="Times New Roman" w:hAnsi="Times New Roman" w:cs="Times New Roman"/>
              </w:rPr>
            </w:pPr>
            <w:r>
              <w:rPr>
                <w:rFonts w:ascii="Times New Roman" w:hAnsi="Times New Roman"/>
              </w:rPr>
              <w:t>Articolul 104 alineatul (2) primul paragraf litera (d) din Regulamentul</w:t>
            </w:r>
            <w:r w:rsidR="00E8390B">
              <w:rPr>
                <w:rFonts w:ascii="Times New Roman" w:hAnsi="Times New Roman"/>
              </w:rPr>
              <w:t> </w:t>
            </w:r>
            <w:r>
              <w:rPr>
                <w:rFonts w:ascii="Times New Roman" w:hAnsi="Times New Roman"/>
              </w:rPr>
              <w:t>(UE)</w:t>
            </w:r>
            <w:r w:rsidR="00E8390B">
              <w:rPr>
                <w:rFonts w:ascii="Times New Roman" w:hAnsi="Times New Roman"/>
              </w:rPr>
              <w:t> </w:t>
            </w:r>
            <w:r>
              <w:rPr>
                <w:rFonts w:ascii="Times New Roman" w:hAnsi="Times New Roman"/>
              </w:rPr>
              <w:t>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lastRenderedPageBreak/>
        <w:t>9.3 C 24.01 – Limita portofoliului de tranzacționare – Reclasificări ale pozițiilor din portofoliul de tranzacționare în poziții din afara portofoliului de tranzacționare sau invers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Pr>
          <w:rFonts w:ascii="Times New Roman" w:hAnsi="Times New Roman"/>
          <w:u w:val="none"/>
        </w:rPr>
        <w:tab/>
      </w:r>
      <w:r>
        <w:rPr>
          <w:rFonts w:ascii="Times New Roman" w:hAnsi="Times New Roman"/>
          <w:sz w:val="24"/>
          <w:u w:val="none"/>
        </w:rPr>
        <w:t>Observații generale</w:t>
      </w:r>
    </w:p>
    <w:p w14:paraId="01D302B5" w14:textId="77777777" w:rsidR="00F65FA6" w:rsidRPr="00037E7B" w:rsidRDefault="00F65FA6" w:rsidP="00F65FA6">
      <w:pPr>
        <w:pStyle w:val="InstructionsText2"/>
        <w:numPr>
          <w:ilvl w:val="0"/>
          <w:numId w:val="61"/>
        </w:numPr>
        <w:spacing w:line="259" w:lineRule="auto"/>
      </w:pPr>
      <w:r>
        <w:t xml:space="preserve">Acest formular se utilizează pentru furnizarea de informații cu privire la reclasificarea pozițiilor în conformitate cu articolul 104a din Regulamentul (UE) nr. 575/2013. </w:t>
      </w:r>
    </w:p>
    <w:p w14:paraId="171B977F" w14:textId="77777777" w:rsidR="00F65FA6" w:rsidRPr="00037E7B" w:rsidRDefault="00F65FA6" w:rsidP="00F65FA6">
      <w:pPr>
        <w:pStyle w:val="InstructionsText2"/>
        <w:numPr>
          <w:ilvl w:val="0"/>
          <w:numId w:val="61"/>
        </w:numPr>
        <w:spacing w:line="259" w:lineRule="auto"/>
      </w:pPr>
      <w:r>
        <w:t>Reclasificările se raportează în acest formular numai în următoarele două cazuri:</w:t>
      </w:r>
    </w:p>
    <w:p w14:paraId="188FB065" w14:textId="1E43754D" w:rsidR="00F65FA6" w:rsidRPr="00037E7B" w:rsidRDefault="00F65FA6" w:rsidP="00F65FA6">
      <w:pPr>
        <w:pStyle w:val="InstructionsText2"/>
        <w:numPr>
          <w:ilvl w:val="1"/>
          <w:numId w:val="61"/>
        </w:numPr>
        <w:spacing w:line="259" w:lineRule="auto"/>
      </w:pPr>
      <w:r>
        <w:t>în cazul în care autoritatea competentă a acordat aprobarea de reclasificare a unei poziții din portofoliul de tranzacționare în poziție din afara portofoliului de tranzacționare sau invers;</w:t>
      </w:r>
    </w:p>
    <w:p w14:paraId="5B6EC138" w14:textId="6FEE46BD" w:rsidR="00F65FA6" w:rsidRPr="00037E7B" w:rsidRDefault="00F65FA6" w:rsidP="00F65FA6">
      <w:pPr>
        <w:pStyle w:val="InstructionsText2"/>
        <w:numPr>
          <w:ilvl w:val="1"/>
          <w:numId w:val="61"/>
        </w:numPr>
        <w:spacing w:line="259" w:lineRule="auto"/>
      </w:pPr>
      <w:r>
        <w:t>în cazul în care reclasificarea îndeplinește condițiile prevăzute la articolul</w:t>
      </w:r>
      <w:r w:rsidR="00D80AAA">
        <w:t> </w:t>
      </w:r>
      <w:r>
        <w:t>104a alineatul (6) din Regulamentul (UE) nr. 575/2013 și poate fi efectuată fără aprobarea explicită a autorității competente.</w:t>
      </w:r>
    </w:p>
    <w:p w14:paraId="42F779D4" w14:textId="77777777" w:rsidR="00F65FA6" w:rsidRPr="00037E7B" w:rsidRDefault="00F65FA6" w:rsidP="00F65FA6">
      <w:pPr>
        <w:pStyle w:val="InstructionsText2"/>
        <w:numPr>
          <w:ilvl w:val="0"/>
          <w:numId w:val="61"/>
        </w:numPr>
        <w:spacing w:line="259" w:lineRule="auto"/>
      </w:pPr>
      <w:r>
        <w:t>În formular se raportează următoarele instrumente reclasificate:</w:t>
      </w:r>
    </w:p>
    <w:p w14:paraId="2B0996DA" w14:textId="3EB81158" w:rsidR="00F65FA6" w:rsidRPr="00037E7B" w:rsidRDefault="00F65FA6" w:rsidP="00F65FA6">
      <w:pPr>
        <w:pStyle w:val="InstructionsText2"/>
        <w:numPr>
          <w:ilvl w:val="1"/>
          <w:numId w:val="61"/>
        </w:numPr>
        <w:spacing w:line="259" w:lineRule="auto"/>
      </w:pPr>
      <w:r>
        <w:t>instrumente reclasificate în cursul trimestrului la care se referă raportul. Se raportează în formular toate instrumentele reclasificate în cursul trimestrului, indiferent dacă reclasificarea conduce sau nu la o reducere a cerințelor de fonduri proprii. Un instrument reclasificat în cursul trimestrului se raportează chiar dacă instrumentul a fost derecunoscut sau a ajuns la scadență între data reclasificării și data de referință a raportului;</w:t>
      </w:r>
    </w:p>
    <w:p w14:paraId="29ED050F" w14:textId="56E21CB0" w:rsidR="00F65FA6" w:rsidRPr="00037E7B" w:rsidRDefault="00F65FA6" w:rsidP="00F65FA6">
      <w:pPr>
        <w:pStyle w:val="InstructionsText2"/>
        <w:numPr>
          <w:ilvl w:val="1"/>
          <w:numId w:val="61"/>
        </w:numPr>
        <w:spacing w:line="259" w:lineRule="auto"/>
      </w:pPr>
      <w:r>
        <w:t xml:space="preserve">instrumentele reclasificate în perioadele de raportare anterioare care atrag în continuare o cerință de fonduri proprii în conformitate cu articolul 104a alineatul (3) litera (b) din Regulamentul (UE) nr. 575/2013 începând cu data de referință a raportului; </w:t>
      </w:r>
    </w:p>
    <w:p w14:paraId="04E7DE74" w14:textId="0EA265BF" w:rsidR="00F65FA6" w:rsidRPr="00037E7B" w:rsidRDefault="00F65FA6" w:rsidP="00F65FA6">
      <w:pPr>
        <w:pStyle w:val="InstructionsText2"/>
        <w:numPr>
          <w:ilvl w:val="1"/>
          <w:numId w:val="61"/>
        </w:numPr>
        <w:spacing w:line="259" w:lineRule="auto"/>
      </w:pPr>
      <w:r>
        <w:t>instrumentele reclasificate în perioadele de raportare anterioare care au atras o cerință de fonduri proprii în conformitate cu articolul 104a alineatul (3) litera (b) din Regulamentul (UE) nr. 575/2013 la data de referință precedentă, în cazul în care decizia autorității competente de a aproba recunoașterea reducerii cerințelor de fonduri proprii intră în vigoare în cursul trimestrului la care se referă raportul.</w:t>
      </w:r>
    </w:p>
    <w:p w14:paraId="4E4DBEFD" w14:textId="77777777" w:rsidR="00F65FA6" w:rsidRPr="00037E7B" w:rsidRDefault="00F65FA6" w:rsidP="00F65FA6">
      <w:pPr>
        <w:pStyle w:val="InstructionsText2"/>
        <w:numPr>
          <w:ilvl w:val="0"/>
          <w:numId w:val="61"/>
        </w:numPr>
        <w:spacing w:line="259" w:lineRule="auto"/>
      </w:pPr>
      <w:r>
        <w:t>Instituțiile raportează informații privind reclasificarea separat pentru fiecare instrument care a fost reclasificat.</w:t>
      </w:r>
    </w:p>
    <w:p w14:paraId="17A4C841" w14:textId="77777777" w:rsidR="00F65FA6" w:rsidRPr="00037E7B" w:rsidDel="00BC604C" w:rsidRDefault="00F65FA6" w:rsidP="00F65FA6">
      <w:pPr>
        <w:pStyle w:val="InstructionsText2"/>
        <w:numPr>
          <w:ilvl w:val="0"/>
          <w:numId w:val="61"/>
        </w:numPr>
        <w:spacing w:line="259" w:lineRule="auto"/>
      </w:pPr>
      <w:r>
        <w:t xml:space="preserve">Câmpul «grup de compensare» se utilizează pentru a se indica grupul de compensare care include entitatea care deținea poziția la data de referință sau la data scadenței sau a derecunoașterii, după caz.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lastRenderedPageBreak/>
        <w:t>9.3.2</w:t>
      </w:r>
      <w:r>
        <w:rPr>
          <w:rFonts w:ascii="Times New Roman" w:hAnsi="Times New Roman"/>
          <w:sz w:val="24"/>
          <w:u w:val="none"/>
        </w:rPr>
        <w:tab/>
        <w:t>Instrucțiuni privind anumite poziții</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Coloană</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Referințe juridice și instrucțiuni</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Identificatorul reclasificării</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Codul intern (alfanumeric) utilizat de entitatea raportoare pentru a identifica instrumentul reclasificat sau reclasificarea, după caz.</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Fiecare reclasificare se asociază cu un identificator de reclasificare diferit. Identificatorul reclasificării atribuit uneia și aceleiași reclasificări trebuie să fie unic și utilizat în mod consecvent în timp și de la un raport la altul.</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Acest cod este un număr de identificare a rândului și trebuie să fie unic pentru fiecare rând din formular.</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Tipul de instrument</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Scurtă descriere a instrumentului reclasificat, care să permită înțelegerea naturii și a principalelor caracteristici ale instrumentului reclasificat.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În cazul în care instrumentul care a fost reclasificat are un număr internațional de identificare a valorilor mobiliare («ISIN»), se include în descriere, pe lângă principalele caracteristici ale instrumentului, codul ISIN.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Portofoliul reglementar din care a fost reclasificat instrumentul</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Se indică una din următoarele două opțiuni:</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Portofoliu de tranzacționare</w:t>
            </w:r>
            <w:r>
              <w:rPr>
                <w:rFonts w:ascii="Times New Roman" w:hAnsi="Times New Roman"/>
              </w:rPr>
              <w:br/>
              <w:t>Articolul 4 alineatul (1) punctul 86 din Regulamentul (UE) nr.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Portofoliu bancar </w:t>
            </w:r>
            <w:r>
              <w:rPr>
                <w:rFonts w:ascii="Times New Roman" w:hAnsi="Times New Roman"/>
              </w:rPr>
              <w:br/>
              <w:t>Alcătuit din toate pozițiile care nu sunt incluse în portofoliul de tranzacționare.</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Portofoliul reglementar în care a fost reclasificat instrumentul</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Se indică una din următoarele două opțiuni:</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Portofoliu de tranzacționare</w:t>
            </w:r>
            <w:r>
              <w:rPr>
                <w:rFonts w:ascii="Times New Roman" w:hAnsi="Times New Roman"/>
              </w:rPr>
              <w:br/>
              <w:t>Articolul 4 alineatul (1) punctul 86 din Regulamentul (UE) nr.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Portofoliu bancar</w:t>
            </w:r>
            <w:r>
              <w:rPr>
                <w:rFonts w:ascii="Times New Roman" w:hAnsi="Times New Roman"/>
              </w:rPr>
              <w:br/>
              <w:t>Alcătuit din toate pozițiile care nu sunt incluse în portofoliul de tranzacționare.</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Motivul reclasificării</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Se explică circumstanțele excepționale care conduc la reclasificarea poziției din portofoliul reglementar în afara lui sau invers. Explicația furnizată în această celulă trebuie să fie suficient de detaliată pentru a justifica motivul pentru care reclasificarea este considerată o circumstanță excepțională.</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Aprobarea prealabilă (statut)</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Articolul 104a alineatele (2) și (6) din Regulamentul (UE) nr. 575/2013</w:t>
            </w:r>
          </w:p>
          <w:p w14:paraId="65D8CB7E" w14:textId="1D261DD1"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În cazul în care nu este necesară aprobarea prealabilă a autorității competente, în conformitate cu articolul 104a alineatul (6) din Regulamentul (UE) nr.</w:t>
            </w:r>
            <w:r w:rsidR="00D80AAA">
              <w:rPr>
                <w:rFonts w:ascii="Times New Roman" w:hAnsi="Times New Roman"/>
              </w:rPr>
              <w:t> </w:t>
            </w:r>
            <w:r>
              <w:rPr>
                <w:rFonts w:ascii="Times New Roman" w:hAnsi="Times New Roman"/>
              </w:rPr>
              <w:t>575/2013, instituțiile înscriu în această coloană mențiunea «Nu este necesară aprobarea prealabilă». În cazul în care este necesară aprobarea prealabilă și ea a fost obținută, se înscrie mențiunea «Aprobare prealabilă obținută».</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Data reclasificării</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Articolul 104a alineatele (2) și (6) din Regulamentul (UE) nr.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Creștere (+) sau reducere (-) netă a cerințelor de fonduri proprii care rezultă din reclasificare</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Variația netă a cuantumului cerințelor de fonduri proprii care rezultă din reclasificarea poziției, calculată în conformitate cu articolul 104a alineatul (4) din Regulamentul (UE) nr.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Creșterea cerințelor de fonduri proprii rezultată din reclasificare se raportează cu semnul pozitiv (+), iar reducerea cerințelor de fonduri proprii se raportează cu semnul negativ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Majorare a cerințelor de fonduri proprii ca urmare a reclasificării </w:t>
            </w:r>
          </w:p>
          <w:p w14:paraId="08204427" w14:textId="2D502A08" w:rsidR="00F65FA6" w:rsidRPr="00037E7B" w:rsidRDefault="00F65FA6" w:rsidP="00E02007">
            <w:pPr>
              <w:pStyle w:val="BodyText"/>
              <w:spacing w:before="120" w:after="120"/>
              <w:rPr>
                <w:rFonts w:ascii="Times New Roman" w:hAnsi="Times New Roman" w:cs="Times New Roman"/>
              </w:rPr>
            </w:pPr>
            <w:r>
              <w:rPr>
                <w:rFonts w:ascii="Times New Roman" w:hAnsi="Times New Roman"/>
              </w:rPr>
              <w:t>Dacă variația netă a cuantumului cerințelor de fonduri proprii care rezultă din reclasificarea poziției, calculată în conformitate cu articolul 104a alineatul (4) din Regulamentul (UE) nr. 575/2013, reprezintă o reducere a cerințelor de fonduri proprii ale instituției, iar autoritatea competentă nu a permis recunoașterea reducerii respective în conformitate cu articolul 104a alineatul</w:t>
            </w:r>
            <w:r w:rsidR="00D80AAA">
              <w:rPr>
                <w:rFonts w:ascii="Times New Roman" w:hAnsi="Times New Roman"/>
              </w:rPr>
              <w:t> </w:t>
            </w:r>
            <w:r>
              <w:rPr>
                <w:rFonts w:ascii="Times New Roman" w:hAnsi="Times New Roman"/>
              </w:rPr>
              <w:t>(3) litera (b) din Regulamentul (UE) nr. 575/2013, cuantumul reducerii se raportează cu semn pozitiv. Cuantumul reprezintă, în consecință, majorarea cerințelor de fonduri proprii pentru reclasificarea în cauză.</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În cazul în care autoritatea competentă a permis recunoașterea reducerii cerințelor de fonduri proprii în conformitate cu articolul 104a alineatul (3) litera (b) din Regulamentul (UE) nr. 575/2013, această coloană se lasă necompletată.</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Data scadenței sau a derecunoașterii avute în vedere a instrumentului</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În cazul în care nu se prevede derecunoașterea, se raportează scadența instrumentului.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În cazul în care se are în vedere derecunoașterea instrumentului înainte de scadență, se raportează data respectivei derecunoașteri avute în vedere.</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În cazul în care se cunosc numai luna și anul scadenței sau al derecunoașterii, se raportează ca dată a scadenței sau a derecunoașterii avute în vedere a instrumentului ultima zi a lunii. În cazul în care se cunoaște numai anul </w:t>
            </w:r>
            <w:r>
              <w:rPr>
                <w:rFonts w:ascii="Times New Roman" w:hAnsi="Times New Roman"/>
              </w:rPr>
              <w:lastRenderedPageBreak/>
              <w:t>derecunoașterii, se raportează ca dată a scadenței sau a derecunoașterii avute în vedere data de 31 decembrie a anului respectiv.</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În cazul în care nu se poate determina sau nu se cunoaște data scadenței sau a derecunoașterii avute în vedere a instrumentului, în această coloană se înscrie data de 31 decembrie 9999.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Data de la care autoritatea competentă permite recunoașterea reducerii cerințelor de fonduri proprii</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Articolul 104a alineatul (3) litera (b) din Regulamentul (UE) nr.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În cazul în care din reclasificare a rezultat o creștere netă a cerințelor de fonduri proprii și în cazul în care autoritatea competentă nu a permis recunoașterea reducerii cerințelor de fonduri proprii, nu se indică nicio dată.”</w:t>
            </w:r>
          </w:p>
        </w:tc>
      </w:tr>
    </w:tbl>
    <w:p w14:paraId="0C23ABF8" w14:textId="77777777" w:rsidR="00F65FA6" w:rsidRPr="00167968" w:rsidRDefault="00F65FA6" w:rsidP="00F65FA6">
      <w:pPr>
        <w:pStyle w:val="body"/>
        <w:rPr>
          <w:rFonts w:ascii="Times New Roman" w:hAnsi="Times New Roman" w:cs="Times New Roman"/>
        </w:rPr>
      </w:pPr>
    </w:p>
    <w:p w14:paraId="18DC5971" w14:textId="77777777" w:rsidR="00522E00" w:rsidRPr="00167968" w:rsidRDefault="00522E00" w:rsidP="00F65FA6">
      <w:pPr>
        <w:pStyle w:val="body"/>
        <w:rPr>
          <w:rStyle w:val="InstructionsTabelleText"/>
          <w:rFonts w:ascii="Times New Roman" w:hAnsi="Times New Roman"/>
          <w:sz w:val="24"/>
        </w:rPr>
      </w:pPr>
    </w:p>
    <w:sectPr w:rsidR="00522E00" w:rsidRPr="00167968"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w:t>
    </w:r>
    <w:r w:rsidR="008F3052">
      <w:rPr>
        <w:rFonts w:ascii="Times New Roman" w:hAnsi="Times New Roman"/>
        <w:sz w:val="20"/>
      </w:rPr>
      <w:t>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tilizare curentă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tilizare curentă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tilizare curentă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968"/>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30A"/>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4C7"/>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0AAA"/>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0B"/>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ro-RO"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2.xml><?xml version="1.0" encoding="utf-8"?>
<ds:datastoreItem xmlns:ds="http://schemas.openxmlformats.org/officeDocument/2006/customXml" ds:itemID="{9112364F-11AB-4C6B-8CD4-AF94A51987BA}"/>
</file>

<file path=customXml/itemProps3.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26</TotalTime>
  <Pages>10</Pages>
  <Words>2726</Words>
  <Characters>16688</Characters>
  <Application>Microsoft Office Word</Application>
  <DocSecurity>0</DocSecurity>
  <Lines>407</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DARABANA-IONESCU Daniela (DGT)</cp:lastModifiedBy>
  <cp:revision>5</cp:revision>
  <dcterms:created xsi:type="dcterms:W3CDTF">2024-06-19T18:09:00Z</dcterms:created>
  <dcterms:modified xsi:type="dcterms:W3CDTF">2025-01-24T11:49:00Z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2025-01-24T11:49:55Z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119ab4a2-7ffc-4d08-b472-1d26781d63e0</vt:lpwstr>
  </property>
  <property fmtid="{D5CDD505-2E9C-101B-9397-08002B2CF9AE}" pid="9" name="MSIP_Label_6bd9ddd1-4d20-43f6-abfa-fc3c07406f94_ContentBits">
    <vt:lpwstr>0</vt:lpwstr>
  </property>
</Properties>
</file>